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61" w:rsidRDefault="00ED13E3" w:rsidP="00ED13E3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 w:rsidRPr="00002461">
        <w:rPr>
          <w:rFonts w:ascii="Arial" w:hAnsi="Arial" w:cs="Arial"/>
          <w:i/>
          <w:sz w:val="36"/>
          <w:szCs w:val="36"/>
        </w:rPr>
        <w:t xml:space="preserve">Бюллетень новых поступлений за </w:t>
      </w:r>
    </w:p>
    <w:p w:rsidR="00ED13E3" w:rsidRPr="00002461" w:rsidRDefault="00ED13E3" w:rsidP="00ED13E3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 w:rsidRPr="00002461">
        <w:rPr>
          <w:rFonts w:ascii="Arial" w:hAnsi="Arial" w:cs="Arial"/>
          <w:i/>
          <w:color w:val="C00000"/>
          <w:sz w:val="36"/>
          <w:szCs w:val="36"/>
        </w:rPr>
        <w:t xml:space="preserve">ДЕКАБРЬ </w:t>
      </w:r>
      <w:r w:rsidRPr="00002461">
        <w:rPr>
          <w:rFonts w:ascii="Arial" w:hAnsi="Arial" w:cs="Arial"/>
          <w:i/>
          <w:sz w:val="36"/>
          <w:szCs w:val="36"/>
        </w:rPr>
        <w:t>2024 года</w:t>
      </w:r>
    </w:p>
    <w:p w:rsidR="00ED13E3" w:rsidRDefault="00ED13E3" w:rsidP="00ED13E3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ED13E3" w:rsidRDefault="00ED13E3" w:rsidP="00ED13E3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  <w:sectPr w:rsidR="00ED1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ED13E3" w:rsidTr="00ED13E3">
        <w:trPr>
          <w:cantSplit/>
        </w:trPr>
        <w:tc>
          <w:tcPr>
            <w:tcW w:w="3828" w:type="dxa"/>
          </w:tcPr>
          <w:p w:rsidR="00ED13E3" w:rsidRPr="00F740F0" w:rsidRDefault="00ED13E3" w:rsidP="00ED13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Тематический  раздел</w:t>
            </w:r>
            <w:proofErr w:type="gramEnd"/>
          </w:p>
          <w:p w:rsidR="00ED13E3" w:rsidRPr="00F740F0" w:rsidRDefault="00ED13E3" w:rsidP="00ED13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hideMark/>
          </w:tcPr>
          <w:p w:rsidR="00ED13E3" w:rsidRDefault="00ED13E3" w:rsidP="00ED13E3">
            <w:pPr>
              <w:ind w:hanging="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D13E3" w:rsidTr="00ED13E3">
        <w:trPr>
          <w:cantSplit/>
          <w:trHeight w:val="538"/>
        </w:trPr>
        <w:tc>
          <w:tcPr>
            <w:tcW w:w="3828" w:type="dxa"/>
          </w:tcPr>
          <w:p w:rsidR="00ED13E3" w:rsidRPr="009E3A4A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рхитектура.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радостроительство</w:t>
            </w:r>
          </w:p>
        </w:tc>
        <w:tc>
          <w:tcPr>
            <w:tcW w:w="850" w:type="dxa"/>
          </w:tcPr>
          <w:p w:rsidR="00ED13E3" w:rsidRPr="00AE53FE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D13E3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ED13E3">
        <w:trPr>
          <w:cantSplit/>
          <w:trHeight w:val="538"/>
        </w:trPr>
        <w:tc>
          <w:tcPr>
            <w:tcW w:w="3828" w:type="dxa"/>
          </w:tcPr>
          <w:p w:rsidR="00ED13E3" w:rsidRPr="009E3A4A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раеведение</w:t>
            </w:r>
          </w:p>
        </w:tc>
        <w:tc>
          <w:tcPr>
            <w:tcW w:w="850" w:type="dxa"/>
          </w:tcPr>
          <w:p w:rsidR="00ED13E3" w:rsidRDefault="00ED13E3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нженерная геология.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снования и фундаменты</w:t>
            </w:r>
          </w:p>
          <w:p w:rsidR="009E3A4A" w:rsidRPr="009E3A4A" w:rsidRDefault="009E3A4A" w:rsidP="009E3A4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D13E3" w:rsidRPr="00BF6DE1" w:rsidRDefault="00ED13E3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2EAE" w:rsidTr="00ED13E3">
        <w:trPr>
          <w:cantSplit/>
        </w:trPr>
        <w:tc>
          <w:tcPr>
            <w:tcW w:w="3828" w:type="dxa"/>
          </w:tcPr>
          <w:p w:rsidR="00F32EAE" w:rsidRDefault="00F32EAE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История.Этнография</w:t>
            </w:r>
            <w:proofErr w:type="spellEnd"/>
          </w:p>
          <w:p w:rsidR="009E3A4A" w:rsidRPr="00390F56" w:rsidRDefault="009E3A4A" w:rsidP="009E3A4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E8C" w:rsidRPr="00AE53FE" w:rsidRDefault="00846E8C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32EAE" w:rsidRDefault="00F32EAE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</w:p>
          <w:p w:rsidR="009E3A4A" w:rsidRPr="009E3A4A" w:rsidRDefault="009E3A4A" w:rsidP="009E3A4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D13E3" w:rsidRPr="00CD54A2" w:rsidRDefault="00ED13E3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Pr="009E3A4A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по защите зданий</w:t>
            </w:r>
          </w:p>
        </w:tc>
        <w:tc>
          <w:tcPr>
            <w:tcW w:w="850" w:type="dxa"/>
          </w:tcPr>
          <w:p w:rsidR="00ED13E3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E3A4A" w:rsidRDefault="009E3A4A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Pr="009E3A4A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850" w:type="dxa"/>
          </w:tcPr>
          <w:p w:rsidR="009E3A4A" w:rsidRDefault="00ED13E3" w:rsidP="009E3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E3A4A" w:rsidRPr="00DC22A5" w:rsidRDefault="009E3A4A" w:rsidP="009E3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576" w:rsidTr="00ED13E3">
        <w:trPr>
          <w:cantSplit/>
        </w:trPr>
        <w:tc>
          <w:tcPr>
            <w:tcW w:w="3828" w:type="dxa"/>
          </w:tcPr>
          <w:p w:rsidR="00EE3576" w:rsidRPr="00390F56" w:rsidRDefault="00EE3576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елигия</w:t>
            </w:r>
          </w:p>
        </w:tc>
        <w:tc>
          <w:tcPr>
            <w:tcW w:w="850" w:type="dxa"/>
          </w:tcPr>
          <w:p w:rsidR="00EE3576" w:rsidRDefault="00D642DC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9E3A4A" w:rsidRDefault="009E3A4A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F32EAE">
        <w:trPr>
          <w:cantSplit/>
          <w:trHeight w:val="487"/>
        </w:trPr>
        <w:tc>
          <w:tcPr>
            <w:tcW w:w="3828" w:type="dxa"/>
          </w:tcPr>
          <w:p w:rsidR="00ED13E3" w:rsidRPr="009E3A4A" w:rsidRDefault="00ED13E3" w:rsidP="00ED13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</w:tcPr>
          <w:p w:rsidR="00ED13E3" w:rsidRDefault="00ED13E3" w:rsidP="00F32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_2</w:t>
            </w:r>
          </w:p>
        </w:tc>
      </w:tr>
      <w:tr w:rsidR="00ED13E3" w:rsidTr="00F32EAE">
        <w:trPr>
          <w:cantSplit/>
          <w:trHeight w:val="695"/>
        </w:trPr>
        <w:tc>
          <w:tcPr>
            <w:tcW w:w="3828" w:type="dxa"/>
          </w:tcPr>
          <w:p w:rsidR="00ED13E3" w:rsidRPr="009E3A4A" w:rsidRDefault="00ED13E3" w:rsidP="00ED13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</w:t>
            </w:r>
            <w:r w:rsidR="00F32EAE"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ED13E3" w:rsidRPr="009E3A4A" w:rsidRDefault="00ED13E3" w:rsidP="00ED13E3">
            <w:pPr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D13E3" w:rsidRDefault="00ED13E3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2EAE" w:rsidTr="00F32EAE">
        <w:trPr>
          <w:cantSplit/>
          <w:trHeight w:val="695"/>
        </w:trPr>
        <w:tc>
          <w:tcPr>
            <w:tcW w:w="3828" w:type="dxa"/>
          </w:tcPr>
          <w:p w:rsidR="00F32EAE" w:rsidRPr="009E3A4A" w:rsidRDefault="00F32EAE" w:rsidP="00ED13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</w:tcPr>
          <w:p w:rsidR="00846E8C" w:rsidRPr="00AE53FE" w:rsidRDefault="00846E8C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_5</w:t>
            </w:r>
          </w:p>
          <w:p w:rsidR="00F32EAE" w:rsidRDefault="00F32EAE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AE" w:rsidTr="00ED13E3">
        <w:trPr>
          <w:cantSplit/>
        </w:trPr>
        <w:tc>
          <w:tcPr>
            <w:tcW w:w="3828" w:type="dxa"/>
          </w:tcPr>
          <w:p w:rsidR="00F32EAE" w:rsidRPr="009E3A4A" w:rsidRDefault="00F32EAE" w:rsidP="004023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Теплотехника. Отопление. Вентиляция</w:t>
            </w: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EAE" w:rsidRPr="009E3A4A" w:rsidRDefault="00F32EAE" w:rsidP="00F32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E8C" w:rsidRPr="00AE53FE" w:rsidRDefault="00846E8C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_5</w:t>
            </w:r>
          </w:p>
          <w:p w:rsidR="00F32EAE" w:rsidRDefault="00F32EAE" w:rsidP="00ED13E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2EAE" w:rsidTr="00ED13E3">
        <w:trPr>
          <w:cantSplit/>
        </w:trPr>
        <w:tc>
          <w:tcPr>
            <w:tcW w:w="3828" w:type="dxa"/>
          </w:tcPr>
          <w:p w:rsidR="00F32EAE" w:rsidRPr="00F740F0" w:rsidRDefault="00F32EAE" w:rsidP="00F32E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Тематический  раздел</w:t>
            </w:r>
            <w:proofErr w:type="gramEnd"/>
          </w:p>
          <w:p w:rsidR="00F32EAE" w:rsidRDefault="00F32EAE" w:rsidP="00F32EAE">
            <w:pPr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32EAE" w:rsidRPr="00F740F0" w:rsidRDefault="00F32EAE" w:rsidP="00F32EAE">
            <w:pPr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32EAE" w:rsidRDefault="00F32EAE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стр.</w:t>
            </w: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Pr="009E3A4A" w:rsidRDefault="00ED13E3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  <w:p w:rsidR="00ED13E3" w:rsidRPr="009E3A4A" w:rsidRDefault="00ED13E3" w:rsidP="009E3A4A">
            <w:pPr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D13E3" w:rsidRPr="00AE53FE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ED13E3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Pr="009E3A4A" w:rsidRDefault="00F32EAE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ерчение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рафика</w:t>
            </w:r>
          </w:p>
        </w:tc>
        <w:tc>
          <w:tcPr>
            <w:tcW w:w="850" w:type="dxa"/>
          </w:tcPr>
          <w:p w:rsidR="00ED13E3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E3A4A" w:rsidRDefault="009E3A4A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ED13E3">
        <w:trPr>
          <w:cantSplit/>
        </w:trPr>
        <w:tc>
          <w:tcPr>
            <w:tcW w:w="3828" w:type="dxa"/>
          </w:tcPr>
          <w:p w:rsidR="00ED13E3" w:rsidRPr="009E3A4A" w:rsidRDefault="00F32EAE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кология</w:t>
            </w:r>
          </w:p>
        </w:tc>
        <w:tc>
          <w:tcPr>
            <w:tcW w:w="850" w:type="dxa"/>
          </w:tcPr>
          <w:p w:rsidR="00ED13E3" w:rsidRDefault="00ED13E3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E3A4A" w:rsidRDefault="009E3A4A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AE" w:rsidTr="00ED13E3">
        <w:trPr>
          <w:cantSplit/>
        </w:trPr>
        <w:tc>
          <w:tcPr>
            <w:tcW w:w="3828" w:type="dxa"/>
          </w:tcPr>
          <w:p w:rsidR="00F32EAE" w:rsidRDefault="00F32EAE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Экономические науки</w:t>
            </w:r>
          </w:p>
          <w:p w:rsidR="009E3A4A" w:rsidRPr="00390F56" w:rsidRDefault="009E3A4A" w:rsidP="009E3A4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32EAE" w:rsidRDefault="00846E8C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_3</w:t>
            </w:r>
          </w:p>
        </w:tc>
      </w:tr>
      <w:tr w:rsidR="00ED13E3" w:rsidTr="00ED13E3">
        <w:trPr>
          <w:cantSplit/>
          <w:trHeight w:val="491"/>
        </w:trPr>
        <w:tc>
          <w:tcPr>
            <w:tcW w:w="3828" w:type="dxa"/>
          </w:tcPr>
          <w:p w:rsidR="00ED13E3" w:rsidRPr="009E3A4A" w:rsidRDefault="00F32EAE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 предприятия</w:t>
            </w:r>
            <w:r w:rsidR="0084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фирмы</w:t>
            </w:r>
          </w:p>
        </w:tc>
        <w:tc>
          <w:tcPr>
            <w:tcW w:w="850" w:type="dxa"/>
          </w:tcPr>
          <w:p w:rsidR="00ED13E3" w:rsidRDefault="00ED13E3" w:rsidP="009E3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_3</w:t>
            </w:r>
          </w:p>
          <w:p w:rsidR="00846E8C" w:rsidRDefault="00846E8C" w:rsidP="009E3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8C" w:rsidTr="00ED13E3">
        <w:trPr>
          <w:cantSplit/>
          <w:trHeight w:val="491"/>
        </w:trPr>
        <w:tc>
          <w:tcPr>
            <w:tcW w:w="3828" w:type="dxa"/>
          </w:tcPr>
          <w:p w:rsidR="00846E8C" w:rsidRPr="00390F56" w:rsidRDefault="00846E8C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строительства</w:t>
            </w:r>
          </w:p>
        </w:tc>
        <w:tc>
          <w:tcPr>
            <w:tcW w:w="850" w:type="dxa"/>
          </w:tcPr>
          <w:p w:rsidR="00846E8C" w:rsidRPr="00AE53FE" w:rsidRDefault="00846E8C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46E8C" w:rsidRDefault="00846E8C" w:rsidP="009E3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AE" w:rsidTr="00ED13E3">
        <w:trPr>
          <w:cantSplit/>
          <w:trHeight w:val="491"/>
        </w:trPr>
        <w:tc>
          <w:tcPr>
            <w:tcW w:w="3828" w:type="dxa"/>
          </w:tcPr>
          <w:p w:rsidR="00F32EAE" w:rsidRPr="00390F56" w:rsidRDefault="00F32EAE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850" w:type="dxa"/>
          </w:tcPr>
          <w:p w:rsidR="00F32EAE" w:rsidRDefault="00846E8C" w:rsidP="00ED1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_4</w:t>
            </w:r>
          </w:p>
          <w:p w:rsidR="009E3A4A" w:rsidRDefault="009E3A4A" w:rsidP="00ED1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E3" w:rsidTr="00ED13E3">
        <w:trPr>
          <w:cantSplit/>
        </w:trPr>
        <w:tc>
          <w:tcPr>
            <w:tcW w:w="3828" w:type="dxa"/>
            <w:hideMark/>
          </w:tcPr>
          <w:p w:rsidR="00ED13E3" w:rsidRPr="009E3A4A" w:rsidRDefault="00ED13E3" w:rsidP="009E3A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</w:p>
        </w:tc>
        <w:tc>
          <w:tcPr>
            <w:tcW w:w="850" w:type="dxa"/>
          </w:tcPr>
          <w:p w:rsidR="00ED13E3" w:rsidRDefault="00ED13E3" w:rsidP="00846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6E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D13E3" w:rsidRDefault="00ED13E3" w:rsidP="00ED13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ED13E3" w:rsidSect="00ED13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D13E3" w:rsidRDefault="00ED13E3" w:rsidP="00ED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13E3" w:rsidRPr="00390F56" w:rsidRDefault="00390F56" w:rsidP="00ED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</w:p>
        </w:tc>
      </w:tr>
      <w:tr w:rsidR="00390F56" w:rsidRPr="00390F56" w:rsidTr="00ED13E3">
        <w:trPr>
          <w:tblCellSpacing w:w="15" w:type="dxa"/>
        </w:trPr>
        <w:tc>
          <w:tcPr>
            <w:tcW w:w="243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Л24</w:t>
            </w:r>
          </w:p>
        </w:tc>
        <w:tc>
          <w:tcPr>
            <w:tcW w:w="0" w:type="auto"/>
            <w:hideMark/>
          </w:tcPr>
          <w:p w:rsidR="00390F56" w:rsidRPr="00390F56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Лапшина,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философии: практикум : учебно-методическое пособие по подготовке к практическим занятиям для обучающихся по дисциплине "Основы философии" направлению подготовки /специальности 09.02.07 "Информационные системы и программирование", 08.02.07 "Монтаж и эксплуатация внутренних сантехнических устройств, кондиционирования воздуха и вентиляции", 08.02.08 "Монтаж и эксплуатация оборудования и систем газоснабжения", 08.02.01 "Строительство и эксплуатация зданий и сооружений", 08.02.04 "Водоснабжение и водоотведение", 27.02.07 "Управление качеством продукции, процессов и услуг (по отраслям)" / В. С. Лапшина ; Нижегородский государственный архитектурно-строительный университет. -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- 0-00.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90F56" w:rsidRPr="00390F56" w:rsidTr="00ED13E3">
        <w:trPr>
          <w:tblCellSpacing w:w="15" w:type="dxa"/>
        </w:trPr>
        <w:tc>
          <w:tcPr>
            <w:tcW w:w="243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Л24</w:t>
            </w:r>
          </w:p>
        </w:tc>
        <w:tc>
          <w:tcPr>
            <w:tcW w:w="0" w:type="auto"/>
            <w:hideMark/>
          </w:tcPr>
          <w:p w:rsidR="00390F56" w:rsidRPr="00390F56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Лапшина,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Философия: тестовые задания и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для подготовки к семинарским занятиям, зачету, экзамену для обучающихся по дисциплине "Философия" направлению подготовки/специальности 07.03.01 "Архитектура", 07.03.03 "Дизайн архитектурной среды" направленность (профиль)/специализация "Архитектурное проектирование", "Градостроительное проектирование", "Реставрационное проектирование", "Дизайн архитектурной среды" / В. С. Лапшина ; Нижегородский государственный архитектурно-строительный университет. -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- 0-00.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РЕЛИГИЯ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П68</w:t>
            </w:r>
          </w:p>
        </w:tc>
        <w:tc>
          <w:tcPr>
            <w:tcW w:w="0" w:type="auto"/>
            <w:hideMark/>
          </w:tcPr>
          <w:p w:rsidR="00390F56" w:rsidRPr="00390F56" w:rsidRDefault="00390F56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Православная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укрупненным группам специальностей и направлений подготовки: 46.00.00 "История и археология", 47.00.00 "Философия, этика и религиоведение", 48.00.00 "Теология". Т.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Фома - Христофор / под редакцией Патриарха Московского и всея Руси Кирилла.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.-науч. центр "Православная энциклопедия", 2024. - 720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- 2000-летию Рождества Господа нашего Иисуса Христа посвящается. - ISBN 978-5-89572-082-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1500-00.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нбо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- 20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935"/>
        <w:gridCol w:w="7922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СОЦИОЛОГИЯ</w:t>
            </w:r>
          </w:p>
        </w:tc>
      </w:tr>
      <w:tr w:rsidR="00390F56" w:rsidRPr="00390F56" w:rsidTr="000158ED">
        <w:trPr>
          <w:tblCellSpacing w:w="15" w:type="dxa"/>
        </w:trPr>
        <w:tc>
          <w:tcPr>
            <w:tcW w:w="243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390F56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Великорусская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социоматериальная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проектный подход к будущему / С. В. Макаров.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 С., 2022. - 416 с. - ISBN 978-5-600-03352-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500-00.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ED13E3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D13E3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D13E3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58ED" w:rsidRDefault="000158ED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D13E3" w:rsidRPr="00390F56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8ED" w:rsidRPr="00390F56" w:rsidTr="000158ED">
        <w:trPr>
          <w:tblCellSpacing w:w="15" w:type="dxa"/>
        </w:trPr>
        <w:tc>
          <w:tcPr>
            <w:tcW w:w="4968" w:type="pct"/>
            <w:gridSpan w:val="3"/>
          </w:tcPr>
          <w:p w:rsidR="000158ED" w:rsidRDefault="000158ED" w:rsidP="000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58ED" w:rsidRDefault="000158ED" w:rsidP="000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ЭКОНОМИКА. ЭКОНОМИЧЕСКИЕ НАУКИ</w:t>
            </w:r>
          </w:p>
        </w:tc>
      </w:tr>
      <w:tr w:rsidR="000158ED" w:rsidRPr="00390F56" w:rsidTr="000158ED">
        <w:trPr>
          <w:tblCellSpacing w:w="15" w:type="dxa"/>
        </w:trPr>
        <w:tc>
          <w:tcPr>
            <w:tcW w:w="243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65.30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А43</w:t>
            </w:r>
          </w:p>
        </w:tc>
        <w:tc>
          <w:tcPr>
            <w:tcW w:w="0" w:type="auto"/>
          </w:tcPr>
          <w:p w:rsidR="000158ED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Актуальные проблемы социально-экономического и технологического развития России и пути их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Национальной научно-практической конференции (30 октября 2024 г.) / Нижегородский государственный архитектурно-строительный университет; редколлегия : Д. В. Хавин [и др.]. -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978-5-528-00593-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0158ED" w:rsidRPr="00390F56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8E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ЭКОНОМИКА ПРЕДПРИЯТИЯ, ФИРМЫ </w:t>
            </w:r>
          </w:p>
        </w:tc>
      </w:tr>
      <w:tr w:rsidR="00390F56" w:rsidRPr="00390F56" w:rsidTr="000158ED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390F56" w:rsidRPr="00390F56" w:rsidRDefault="00ED13E3" w:rsidP="00ED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ИТ-персоналом :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ИТ-персоналом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направления подготовки 09.04.03 Прикладная информатика, направленность (профиль) Искусственный интеллект в бизнес-аналитике, направленность (профиль) Прикладная информатика в аналитической экономике / Т. В. Богачева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0158ED" w:rsidRPr="00390F56" w:rsidTr="000158ED">
        <w:trPr>
          <w:tblCellSpacing w:w="15" w:type="dxa"/>
        </w:trPr>
        <w:tc>
          <w:tcPr>
            <w:tcW w:w="246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65.22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О-35</w:t>
            </w:r>
          </w:p>
        </w:tc>
        <w:tc>
          <w:tcPr>
            <w:tcW w:w="0" w:type="auto"/>
          </w:tcPr>
          <w:p w:rsidR="000158ED" w:rsidRPr="00390F56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Овчинников, П.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рынка и операции с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по направлению подготовки 08.03.01 Строительство, профиль Организация инвестиционно-строительной деятельности / П. А. Овчинников ; Нижегородский государственный архитектурно-строительный университет.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0158ED" w:rsidRPr="00390F56" w:rsidTr="000158ED">
        <w:trPr>
          <w:tblCellSpacing w:w="15" w:type="dxa"/>
        </w:trPr>
        <w:tc>
          <w:tcPr>
            <w:tcW w:w="246" w:type="pct"/>
            <w:hideMark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hideMark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Т76</w:t>
            </w:r>
          </w:p>
        </w:tc>
        <w:tc>
          <w:tcPr>
            <w:tcW w:w="0" w:type="auto"/>
            <w:hideMark/>
          </w:tcPr>
          <w:p w:rsidR="000158ED" w:rsidRPr="00390F56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Трофимова, Т. 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проведения практических занятий и выполнения расчетной работы для обучающихся направления 09.03.04 Программная инженерия / Т. Е. Трофимова ; Нижегородский государственный архитектурно-строительный университет.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ОБРАЗОВАНИЕ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С88</w:t>
            </w:r>
          </w:p>
        </w:tc>
        <w:tc>
          <w:tcPr>
            <w:tcW w:w="0" w:type="auto"/>
            <w:hideMark/>
          </w:tcPr>
          <w:p w:rsidR="00390F56" w:rsidRDefault="00390F56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Студенческий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/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В. И. Барсуков [и др.].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Б.и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2023.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448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Ветераны Отдела студенческой молодёжи ЦК ВЛКСМ посвящают эту книгу 105-й годовщине Всесоюзного Ленинского Коммунистического Союза Молодёжи и памяти лидеров молодёжного и студенческого движения 1970-1980-х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годовЕ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Тяжельникова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Н. Пастухова, В. А.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Житенёва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Швецовой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978-5-600-03746-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846E8C" w:rsidRPr="00390F56" w:rsidRDefault="00846E8C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ЯЗЫКОЗНАНИЕ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Г62</w:t>
            </w:r>
          </w:p>
        </w:tc>
        <w:tc>
          <w:tcPr>
            <w:tcW w:w="0" w:type="auto"/>
            <w:hideMark/>
          </w:tcPr>
          <w:p w:rsidR="00390F56" w:rsidRPr="00390F56" w:rsidRDefault="00C61F0B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Голубев, А.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строительных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группы специальностей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/ А. П. Голубев, Н. В.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Б. Смирнова.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496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(Среднее специальное образование).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978-5-406-12858-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1411-00.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12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Р78</w:t>
            </w:r>
          </w:p>
        </w:tc>
        <w:tc>
          <w:tcPr>
            <w:tcW w:w="0" w:type="auto"/>
            <w:hideMark/>
          </w:tcPr>
          <w:p w:rsidR="00390F56" w:rsidRDefault="00C61F0B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Ростовцева, П.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дизайнеров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специальности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профессии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дизайнер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/ П. П. Ростовцева, Н. В. Гусева.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(Среднее специальное образование).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978-5-406-13180-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1006-00; 1008-00.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11</w:t>
            </w:r>
          </w:p>
          <w:p w:rsidR="008E3C9F" w:rsidRDefault="008E3C9F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E3C9F" w:rsidRDefault="008E3C9F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61F0B" w:rsidRPr="00390F56" w:rsidRDefault="00C61F0B" w:rsidP="00C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929"/>
        <w:gridCol w:w="7930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3C9F" w:rsidRDefault="008E3C9F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</w:tr>
      <w:tr w:rsidR="00390F56" w:rsidRPr="00390F56" w:rsidTr="00B04F09">
        <w:trPr>
          <w:tblCellSpacing w:w="15" w:type="dxa"/>
        </w:trPr>
        <w:tc>
          <w:tcPr>
            <w:tcW w:w="242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Э40</w:t>
            </w:r>
          </w:p>
        </w:tc>
        <w:tc>
          <w:tcPr>
            <w:tcW w:w="0" w:type="auto"/>
            <w:hideMark/>
          </w:tcPr>
          <w:p w:rsidR="008E3C9F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безопасность и устойчивое развитие урбанизированных территорий (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Нижний Новгород).</w:t>
            </w:r>
          </w:p>
          <w:p w:rsidR="008E3C9F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V Международная научно-практическая конференция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безопасность и устойчивое развитие урбанизированных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докладов / Нижегородский государственный архитектурно-строительный университет ; редколлегия : Д. Л. Щеголев [и др.].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978-5-528-00592-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МАТЕМАТИКА</w:t>
            </w:r>
          </w:p>
        </w:tc>
      </w:tr>
      <w:tr w:rsidR="00390F56" w:rsidRPr="00390F56" w:rsidTr="00B04F09">
        <w:trPr>
          <w:tblCellSpacing w:w="15" w:type="dxa"/>
        </w:trPr>
        <w:tc>
          <w:tcPr>
            <w:tcW w:w="242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390F56" w:rsidRPr="00390F56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Конопацкий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Методы анализа многофакторных процессов в науке и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В.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Конопацкий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Попов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978-5-528-00598-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8F688C" w:rsidRPr="00390F56" w:rsidTr="008F688C">
        <w:trPr>
          <w:tblCellSpacing w:w="15" w:type="dxa"/>
        </w:trPr>
        <w:tc>
          <w:tcPr>
            <w:tcW w:w="4968" w:type="pct"/>
            <w:gridSpan w:val="3"/>
          </w:tcPr>
          <w:p w:rsidR="008F688C" w:rsidRDefault="008F688C" w:rsidP="008F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88C" w:rsidRDefault="008F688C" w:rsidP="008F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ЭНЕРГЕТИКА</w:t>
            </w:r>
          </w:p>
        </w:tc>
      </w:tr>
      <w:tr w:rsidR="00B04F09" w:rsidRPr="00390F56" w:rsidTr="00B04F09">
        <w:trPr>
          <w:tblCellSpacing w:w="15" w:type="dxa"/>
        </w:trPr>
        <w:tc>
          <w:tcPr>
            <w:tcW w:w="242" w:type="pct"/>
          </w:tcPr>
          <w:p w:rsidR="00B04F09" w:rsidRPr="00390F56" w:rsidRDefault="00B04F09" w:rsidP="00B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</w:tcPr>
          <w:p w:rsidR="00B04F09" w:rsidRPr="00390F56" w:rsidRDefault="00B04F09" w:rsidP="00B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Г84</w:t>
            </w:r>
          </w:p>
        </w:tc>
        <w:tc>
          <w:tcPr>
            <w:tcW w:w="0" w:type="auto"/>
          </w:tcPr>
          <w:p w:rsidR="00B04F09" w:rsidRPr="00390F56" w:rsidRDefault="00B04F09" w:rsidP="00B0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Грималовская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энергомашиностроения в России в ХХ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П.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Грималовская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Бодров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также находится печатная версия издания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 заглавие.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978-5-528-00596-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8E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ТЕПЛОТЕХНИКА. ОТОПЛЕНИЕ. ВЕНТИЛЯЦИЯ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К59</w:t>
            </w:r>
          </w:p>
        </w:tc>
        <w:tc>
          <w:tcPr>
            <w:tcW w:w="0" w:type="auto"/>
            <w:hideMark/>
          </w:tcPr>
          <w:p w:rsidR="008E3C9F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Е.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и вентиляция индивидуального жилого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С. Козлов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также находится печатная версия издания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 заглавие.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978-5-528-00597-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СТРОИТЕЛЬСТВО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G27</w:t>
            </w:r>
          </w:p>
        </w:tc>
        <w:tc>
          <w:tcPr>
            <w:tcW w:w="0" w:type="auto"/>
            <w:hideMark/>
          </w:tcPr>
          <w:p w:rsidR="00390F56" w:rsidRPr="00390F56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Gavrikova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  <w:r w:rsidR="00390F56" w:rsidRPr="0001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="00390F56" w:rsidRPr="0001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01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Industrial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design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technological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practice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: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methodological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manual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internship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studying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field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03.07.01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Architecture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Gavrikova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Mikhailova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Nizhny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Novgorod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versity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Architecture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Engineering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Nizhny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Novgorod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NNGASU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2024.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экрана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catalog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nngasu</w:t>
            </w:r>
            <w:proofErr w:type="spellEnd"/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MarcWeb</w:t>
            </w:r>
            <w:proofErr w:type="spellEnd"/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0158ED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G27</w:t>
            </w:r>
          </w:p>
        </w:tc>
        <w:tc>
          <w:tcPr>
            <w:tcW w:w="0" w:type="auto"/>
            <w:hideMark/>
          </w:tcPr>
          <w:p w:rsidR="00390F56" w:rsidRPr="000158ED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Gavrikova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 T. A.</w:t>
            </w:r>
            <w:r w:rsidRPr="008E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Industrial design and technological practice : Educational and methodological manual for internship for students studying in the field of study 03.07.01 Architecture / T. A.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Gavrikova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E. B.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Mikhailova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Nizhny Novgorod State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Uni-versity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Architecture and Civil Engineering.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Nizhny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Novgorod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NNGASU,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 p.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Bibliographical list: p. 10.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хранения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gramStart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gramEnd"/>
            <w:r w:rsidR="00390F56" w:rsidRPr="008E3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</w:t>
            </w:r>
            <w:r w:rsidR="00390F56" w:rsidRPr="00015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экземпляров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5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Г83</w:t>
            </w:r>
          </w:p>
        </w:tc>
        <w:tc>
          <w:tcPr>
            <w:tcW w:w="0" w:type="auto"/>
            <w:hideMark/>
          </w:tcPr>
          <w:p w:rsidR="008E3C9F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Ю.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Инженерное расследование причины деформации и разрушения строительных конструкций семиэтажного жилого дома. Опыт обследования строительных конструкций, основания и фундаментов деформирующегося здания. Инженерные решения по усилению основания и фундаментов аварийного жилого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Ю. С. Григорьев, В. В. Фатеев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978-5-528-00551-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О-64</w:t>
            </w:r>
          </w:p>
        </w:tc>
        <w:tc>
          <w:tcPr>
            <w:tcW w:w="0" w:type="auto"/>
            <w:hideMark/>
          </w:tcPr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управление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строительством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включая рекомендации обучающимся по организации самостоятельной работы) и выполнению первой части курсового проекта для обучающихся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строительством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08.03.01 Строительство, направленность (профиль) Организация инвестиционно-строительной деятельности. Ч.1 / Д. В. Хавин, Н.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Б. Смирнова [и др.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О-64</w:t>
            </w:r>
          </w:p>
        </w:tc>
        <w:tc>
          <w:tcPr>
            <w:tcW w:w="0" w:type="auto"/>
            <w:hideMark/>
          </w:tcPr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управление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строительством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обучающимся по организации самостоятельной работы) и выполнению второй части курсового проекта для обучающихся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строительством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08.03.01 Строительство, направленность (профиль) Организация инвестиционно-строительной деятельности. Ч.2 / Д. В. Хавин, Н.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Б. Смирнова [и др.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О-64</w:t>
            </w:r>
          </w:p>
        </w:tc>
        <w:tc>
          <w:tcPr>
            <w:tcW w:w="0" w:type="auto"/>
            <w:hideMark/>
          </w:tcPr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строительного производства.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</w:t>
            </w:r>
            <w:r w:rsidR="008E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проведения практических занятий по направлению подготовки 08.03.01 Строительство / Д. В. Хавин, Н.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Б. Смирнова [и др.]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ИНЖЕНЕРНАЯ ГЕОЛОГИЯ. ОСНОВАНИЯ И ФУНДАМЕНТЫ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624.15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Г83</w:t>
            </w:r>
          </w:p>
        </w:tc>
        <w:tc>
          <w:tcPr>
            <w:tcW w:w="0" w:type="auto"/>
            <w:hideMark/>
          </w:tcPr>
          <w:p w:rsidR="008E3C9F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Ю.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работы свайных фундаментов в лабораторных и в полевых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Ю. С. Григорьев, В. В. Фатеев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978-5-528-00539-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624.15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Г83</w:t>
            </w:r>
          </w:p>
        </w:tc>
        <w:tc>
          <w:tcPr>
            <w:tcW w:w="0" w:type="auto"/>
            <w:hideMark/>
          </w:tcPr>
          <w:p w:rsidR="008E3C9F" w:rsidRDefault="008E3C9F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Ю.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Численное моделирование работы горизонтально нагруженных свайных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Ю. С. Григорьев, В. В. Фатеев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978-5-528-00590-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E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СТРОИТЕЛЬНЫЕ МАТЕРИАЛЫ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6E5F9E" w:rsidRDefault="006E5F9E" w:rsidP="006E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Теплоизоляционные материалы : учебно-методическое пособие по выполнению лабораторных работ для обучающихся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материаловедение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07.03.01 Архитектура профили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Реставрационное проектирование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Градостроительное проектирование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направлению подготовки 07.03.03 Дизайн архитектурной среды,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08.03.01 Строительство и по специальности 08.05.01 Строительство уникальных зданий и сооружений / А. В. Исаев, А. А.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Мольков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с.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34-36.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также находится электронная версия издания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 заглавие.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390F56" w:rsidRPr="00390F56" w:rsidRDefault="00390F56" w:rsidP="006E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35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М76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Мольков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Общестроительные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лабораторной работы для обучающихся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08.03.01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специальности 08.05.01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А.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Мольков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также находится печатная версия издания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 заглавие.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М76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Мольков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Пенополистирол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и практических занятий для обучающихся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теплоизоляционных и изоляционных материалов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08.03.01 Строительство, профиль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применение строительных материалов, изделий и конструкций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А.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Мольков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 СТРОИТЕЛЬСТВА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69.003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Е83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Есин, Е.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сметной документации с использованием программного комплекса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ГРАНД-Смета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Ресурсно-индексный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проведению лабораторных занятий у обучающихся в ННГАСУ по направлению подготовки 08.03.01 Строительство и 08.05.01 Строительство уникальных зданий и сооружений / Е. Ю. Есин, М. В.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Л.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также находится печатная версия издания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 заглавие.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 ПО ЗАЩИТЕ ЗДАНИЙ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699.8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П79</w:t>
            </w:r>
          </w:p>
        </w:tc>
        <w:tc>
          <w:tcPr>
            <w:tcW w:w="0" w:type="auto"/>
            <w:hideMark/>
          </w:tcPr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многослойных звукоизолирующих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ограждений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А. Гребнев, Н.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Б. Смирнова [и др.]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978-5-528-00591-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АРХИТЕКТУРА. ГРАДОСТРОИТЕЛЬСТВО</w:t>
            </w:r>
          </w:p>
        </w:tc>
      </w:tr>
      <w:tr w:rsidR="00390F56" w:rsidRPr="008B1744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K42</w:t>
            </w:r>
          </w:p>
        </w:tc>
        <w:tc>
          <w:tcPr>
            <w:tcW w:w="0" w:type="auto"/>
            <w:hideMark/>
          </w:tcPr>
          <w:p w:rsidR="008B1744" w:rsidRPr="000158ED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Khudin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 A. A.</w:t>
            </w:r>
            <w:r w:rsidRPr="008B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Residential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complex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educational and methodical manual for the course project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Residential complex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direction of training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Architecture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(for international students in English) for students of direction 07.03.01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Architecture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Profile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Design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Discipline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Architectural Design / A. A.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Khudin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Murunov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Nizhny Novgorod State University of Architecture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and Civil Engineering.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Nizhny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Novgorod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NNGASU,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экрана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catalog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nngasu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MarcWeb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F56" w:rsidRPr="008B1744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хранения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gram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</w:t>
            </w:r>
            <w:r w:rsidRPr="008B1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экземпляров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8B1744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K42</w:t>
            </w:r>
          </w:p>
        </w:tc>
        <w:tc>
          <w:tcPr>
            <w:tcW w:w="0" w:type="auto"/>
            <w:hideMark/>
          </w:tcPr>
          <w:p w:rsidR="008B1744" w:rsidRPr="000158ED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Khudin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 A. A.</w:t>
            </w:r>
            <w:r w:rsidRPr="008B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Mosque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educational and methodical manual for the course project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Mosque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direction of training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Architecture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(for international students in English) for students of direction 07.03.01 Architecture Profile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Design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Discipline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Design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A. A.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Khudin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Nizhny Novgorod State University of Architecture and Civil Engineering, Faculty of Architecture and Urban Planning, Department of Architectural Design.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Nizhny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Novgorod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NNGASU,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экрана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catalog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nngasu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MarcWeb</w:t>
            </w:r>
            <w:proofErr w:type="spell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390F56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F56" w:rsidRPr="008B1744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хранения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gram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</w:t>
            </w:r>
            <w:r w:rsidRPr="008B1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экземпляров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8B1744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M65</w:t>
            </w:r>
          </w:p>
        </w:tc>
        <w:tc>
          <w:tcPr>
            <w:tcW w:w="0" w:type="auto"/>
            <w:hideMark/>
          </w:tcPr>
          <w:p w:rsidR="00390F56" w:rsidRPr="008B1744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Mid-rise apartment building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 educational and methodological manual for the implementation of the course project (for foreign students) Discipline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Design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For students in the direction of training 07.03.01 Architecture, Profile Architectural Design / A. A.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Khudin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.] ; Nizhny Novgorod State University of Architecture and Civil Engineering.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Nizhny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Novgorod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NNGASU,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экрана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catalog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nngasu</w:t>
            </w:r>
            <w:proofErr w:type="spellEnd"/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MarcWeb</w:t>
            </w:r>
            <w:proofErr w:type="spellEnd"/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хранения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  </w:t>
            </w:r>
            <w:proofErr w:type="gram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</w:t>
            </w:r>
            <w:r w:rsidRPr="008B1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экземпляров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–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1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</w:t>
            </w:r>
          </w:p>
        </w:tc>
        <w:tc>
          <w:tcPr>
            <w:tcW w:w="0" w:type="auto"/>
            <w:hideMark/>
          </w:tcPr>
          <w:p w:rsidR="00390F56" w:rsidRPr="00390F56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Абуасад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жилой застройки в сложившихся ландшафтно-природных условиях Палестины (в контексте архитектуры городов Восточного Средиземноморья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2.1.11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М. М.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Абуасад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А. Е.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Воронежский государственный технический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ВГТУ,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 с.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138-152.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</w:t>
            </w:r>
          </w:p>
        </w:tc>
        <w:tc>
          <w:tcPr>
            <w:tcW w:w="0" w:type="auto"/>
            <w:hideMark/>
          </w:tcPr>
          <w:p w:rsidR="00390F56" w:rsidRPr="00390F56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Абуасад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жилой застройки в сложившихся ландшафтно-природных условиях Палестины (в контексте архитектуры городов Восточного Средиземноморья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2.1.11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М. М.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Абуасад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А. Е.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Воронежский государственный технический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ВГТУ,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с. : ил.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А94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Афонин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архитектуры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среднеэтажных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многоэтажных деревянных гражданских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2.1.12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Архитектура зданий и сооружений. Творческие концепции архитектурной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архитектуры. Т.1 / В. С.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А. А.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 с.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174-196.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А94</w:t>
            </w:r>
          </w:p>
        </w:tc>
        <w:tc>
          <w:tcPr>
            <w:tcW w:w="0" w:type="auto"/>
            <w:hideMark/>
          </w:tcPr>
          <w:p w:rsidR="00390F56" w:rsidRPr="00390F56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Афонин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архитектуры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среднеэтажных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многоэтажных деревянных гражданских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2.1.12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Архитектура зданий и сооружений. Творческие концепции архитектурной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архитектуры. Т.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Графическая часть, Приложение А, Приложение В / В. С.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научный руководитель А. А.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Худин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 с. : ил.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З-17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Зайцев, А.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квартала в исторической части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выполнения курсового проекта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(специальный курс) для студентов 3 курса направления 07.03.01 Архитектура направленность (профиль) Реставрационное проектирование / А. А. Зайцев, А. Н. Королева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6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Л36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Левин, И. 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Фантазийная графическая композиция в выбранном архитектурном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Л. Левин, О. Н.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Чеберева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978-5-528-00594-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EE3576" w:rsidRPr="00390F56" w:rsidTr="00EE3576">
        <w:trPr>
          <w:tblCellSpacing w:w="15" w:type="dxa"/>
        </w:trPr>
        <w:tc>
          <w:tcPr>
            <w:tcW w:w="246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Р76</w:t>
            </w:r>
          </w:p>
        </w:tc>
        <w:tc>
          <w:tcPr>
            <w:tcW w:w="0" w:type="auto"/>
          </w:tcPr>
          <w:p w:rsidR="00EE3576" w:rsidRDefault="00EE3576" w:rsidP="00EE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академия архитектуры и строительных наук. Приволжское территориальное отделение.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Вестник Приволжского территориального отделения Российской академии архитектуры и строительных наук [Электронный ресурс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27 / Российская академия архитектуры и строительных наук, Нижегородский государственный архитектурно-строительный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редколлегия : В. Н. Бобылев (отв. редактор), Д. Л. Щеголев, А. Л.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Гельфонд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978-5-528-00595-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EE3576" w:rsidRPr="00390F56" w:rsidRDefault="00EE3576" w:rsidP="00EE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E3576" w:rsidRPr="00390F56" w:rsidTr="00EE3576">
        <w:trPr>
          <w:tblCellSpacing w:w="15" w:type="dxa"/>
        </w:trPr>
        <w:tc>
          <w:tcPr>
            <w:tcW w:w="246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3576" w:rsidRDefault="00EE3576" w:rsidP="00EE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Шумилкин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реставрации в архитектуре России конца 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XХI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доктора архитектуры: специальность 2.1.11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архитектуры, реставрация и реконструкция историко-архитектурного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С.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Новгород, 2024.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917"/>
        <w:gridCol w:w="794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ЧЕРЧЕНИЕ. ГРАФИКА</w:t>
            </w:r>
          </w:p>
        </w:tc>
      </w:tr>
      <w:tr w:rsidR="00390F56" w:rsidRPr="00390F56" w:rsidTr="00EE3576">
        <w:trPr>
          <w:tblCellSpacing w:w="15" w:type="dxa"/>
        </w:trPr>
        <w:tc>
          <w:tcPr>
            <w:tcW w:w="241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А91</w:t>
            </w:r>
          </w:p>
        </w:tc>
        <w:tc>
          <w:tcPr>
            <w:tcW w:w="0" w:type="auto"/>
            <w:hideMark/>
          </w:tcPr>
          <w:p w:rsidR="00390F56" w:rsidRPr="00390F56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Астахов, В. 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академического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подготовки: 07.03.01 Архитектура, профили: Архитектурное проектирование; Градостроительное проектирование; Реставрационное проектирование, 07.03.03 Дизайн 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архитектурной среды, профиль Дизайн архитектурной среды / В. Н. Астахов ; Нижегородский государственный архитектурно-строительный университет.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CD ROM.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58ED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экрана.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http://catalog.nngasu.ru/MarcWeb2/.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F56"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5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0158ED" w:rsidRPr="00390F56" w:rsidTr="000158ED">
        <w:trPr>
          <w:tblCellSpacing w:w="15" w:type="dxa"/>
        </w:trPr>
        <w:tc>
          <w:tcPr>
            <w:tcW w:w="4968" w:type="pct"/>
            <w:gridSpan w:val="3"/>
          </w:tcPr>
          <w:p w:rsidR="000158ED" w:rsidRDefault="000158ED" w:rsidP="000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58ED" w:rsidRDefault="000158ED" w:rsidP="000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ИСТОРИЯ. ЭТНОГРАФИЯ</w:t>
            </w:r>
          </w:p>
        </w:tc>
      </w:tr>
      <w:tr w:rsidR="000158ED" w:rsidRPr="00390F56" w:rsidTr="00EE3576">
        <w:trPr>
          <w:tblCellSpacing w:w="15" w:type="dxa"/>
        </w:trPr>
        <w:tc>
          <w:tcPr>
            <w:tcW w:w="241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9(C)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И90</w:t>
            </w:r>
          </w:p>
        </w:tc>
        <w:tc>
          <w:tcPr>
            <w:tcW w:w="0" w:type="auto"/>
          </w:tcPr>
          <w:p w:rsidR="000158ED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 т. Т.5, кн.1 : Россия в XVII веке. Российское государство в первой половине XVII века, 1598-1645 годы / ответственный редактор Д.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Лисейцев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Российское историческое общество, Институт российской истории РАН, Фонд "История Отечества", </w:t>
            </w:r>
            <w:proofErr w:type="spellStart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редакционная коллегия: Ю. А. Петров (отв. редактор) [и др.].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2024. - 772 с., [22] л.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Частное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суперобл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1598-1645 годы. - Авт. указаны в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авантит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также: Российская академия наук - 300 лет. - Кн. в суперобложке.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712-719. - ISBN 978-5-02-041527-0 (Т.5, кн.1). - ISBN 978-5-02-040487-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6000-00.</w:t>
            </w:r>
          </w:p>
          <w:p w:rsidR="000158ED" w:rsidRPr="00390F56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0158ED" w:rsidRPr="00390F56" w:rsidTr="00EE3576">
        <w:trPr>
          <w:tblCellSpacing w:w="15" w:type="dxa"/>
        </w:trPr>
        <w:tc>
          <w:tcPr>
            <w:tcW w:w="241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9(C)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И90</w:t>
            </w:r>
          </w:p>
        </w:tc>
        <w:tc>
          <w:tcPr>
            <w:tcW w:w="0" w:type="auto"/>
          </w:tcPr>
          <w:p w:rsidR="000158ED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 т. Т.11, кн.1 : Империя, война, революция. 1914-1917 годы. От войны к краху империи / ответственный редактор В. П.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Российское историческое общество, Институт российской истории РАН, Фонд "История Отечества", </w:t>
            </w:r>
            <w:proofErr w:type="spellStart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редакционная коллегия: Ю. А. Петров (отв. редактор) [и др.].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2024. - 960 с., [8] л.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Частное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суперобл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1914-1917 годы. - Авт. указаны в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авантит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также: Российская академия наук - 300 лет. - Кн. в суперобложке.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903-912. - ISBN 978-5-02-040460-1 (Т.11, кн.1). - ISBN 978-5-02-040487-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6000-00.</w:t>
            </w:r>
          </w:p>
          <w:p w:rsidR="000158ED" w:rsidRPr="00390F56" w:rsidRDefault="000158ED" w:rsidP="0001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0158ED" w:rsidRPr="00390F56" w:rsidTr="00EE3576">
        <w:trPr>
          <w:tblCellSpacing w:w="15" w:type="dxa"/>
        </w:trPr>
        <w:tc>
          <w:tcPr>
            <w:tcW w:w="241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" w:type="pct"/>
          </w:tcPr>
          <w:p w:rsidR="000158ED" w:rsidRPr="00390F56" w:rsidRDefault="000158ED" w:rsidP="0001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9(C)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И90</w:t>
            </w:r>
          </w:p>
        </w:tc>
        <w:tc>
          <w:tcPr>
            <w:tcW w:w="0" w:type="auto"/>
          </w:tcPr>
          <w:p w:rsidR="000158ED" w:rsidRPr="00390F56" w:rsidRDefault="000158ED" w:rsidP="00EE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 т. Т.11, кн.2 : Империя, война, революция. 1914-1917 годы. От развала империи к Гражданской войне / ответственный редактор В. П.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Российское историческое общество, Институт российской истории РАН, Фонд "История Отечества", </w:t>
            </w:r>
            <w:proofErr w:type="spellStart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редакционная коллегия: Ю. А. Петров (отв. редактор) [и др.].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2024. - 784 с., [8] л.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Частное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суперобл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1914-1917 годы. - Авт. указаны в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авантит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также: Российская академия наук - 300 лет. - Кн. в суперобложке.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742-751. - ISBN 978-5-02-040459-5 (Т.11, кн.2). - ISBN 978-5-02-040487-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6000-00.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E3576" w:rsidRPr="00390F56" w:rsidTr="00EE3576">
        <w:trPr>
          <w:tblCellSpacing w:w="15" w:type="dxa"/>
        </w:trPr>
        <w:tc>
          <w:tcPr>
            <w:tcW w:w="241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9(C)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И90</w:t>
            </w:r>
          </w:p>
        </w:tc>
        <w:tc>
          <w:tcPr>
            <w:tcW w:w="0" w:type="auto"/>
          </w:tcPr>
          <w:p w:rsidR="00EE3576" w:rsidRPr="00390F56" w:rsidRDefault="00EE3576" w:rsidP="00EE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 т. Т.12, кн.1 : Гражданская война в России. 1917-1922 годы. Военное и политико-дипломатическое противоборство / ответственный редактор В. И. Голдин, В.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Российское историческое общество, Институт российской истории РАН, Фонд "История Отечества", </w:t>
            </w:r>
            <w:proofErr w:type="spellStart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редакционная коллегия: Ю. А. Петров (отв. редактор) [и др.].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2024. - 970 с., [10] л.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Частное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суперобл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1917-1922 годы. - Авт. указаны в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авантит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также: Российская академия наук - 300 лет. - Кн. в суперобложке. - ISBN 978-5-02-041018-3 (Т.12, кн.1). - ISBN 978-5-02-040487-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5600-00.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E3576" w:rsidRPr="00390F56" w:rsidTr="00EE3576">
        <w:trPr>
          <w:tblCellSpacing w:w="15" w:type="dxa"/>
        </w:trPr>
        <w:tc>
          <w:tcPr>
            <w:tcW w:w="241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pct"/>
          </w:tcPr>
          <w:p w:rsidR="00EE3576" w:rsidRPr="00390F56" w:rsidRDefault="00EE3576" w:rsidP="00EE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9(C)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И90</w:t>
            </w:r>
          </w:p>
        </w:tc>
        <w:tc>
          <w:tcPr>
            <w:tcW w:w="0" w:type="auto"/>
          </w:tcPr>
          <w:p w:rsidR="00EE3576" w:rsidRPr="00390F56" w:rsidRDefault="00EE3576" w:rsidP="00EE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 т. Т.12, кн.2 : Гражданская война в России. 1917-1922 годы. Власть. Экономика. Общество. Культура / ответственный редактор В. И. Голдин, В. В.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Российское историческое общество, Институт российской истории РАН, Фонд "История Отечества", </w:t>
            </w:r>
            <w:proofErr w:type="spellStart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Транснефть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редакционная коллегия: Ю. А. Петров (отв. редактор) [и др.]. -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2024. - 920 с., [16] л.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Частное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суперобл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1917-1922 годы. - Авт. указаны в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На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авантит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также: Российская академия наук - 300 лет. - Кн. в суперобложке. - </w:t>
            </w:r>
            <w:proofErr w:type="spellStart"/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874-885. - ISBN 978-5-02-041024-4 (Т.12, кн.2). - ISBN 978-5-02-040487-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6000-00.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390F56" w:rsidRPr="00390F56" w:rsidTr="00390F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0F56" w:rsidRPr="00390F56" w:rsidRDefault="00390F56" w:rsidP="0039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ГЕОГРАФИЯ. КРАЕВЕДЕНИЕ</w:t>
            </w:r>
          </w:p>
        </w:tc>
      </w:tr>
      <w:tr w:rsidR="00390F56" w:rsidRPr="00390F56" w:rsidTr="00390F56">
        <w:trPr>
          <w:tblCellSpacing w:w="15" w:type="dxa"/>
        </w:trPr>
        <w:tc>
          <w:tcPr>
            <w:tcW w:w="25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390F56" w:rsidRPr="00390F56" w:rsidRDefault="00390F56" w:rsidP="003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Л63</w:t>
            </w:r>
          </w:p>
        </w:tc>
        <w:tc>
          <w:tcPr>
            <w:tcW w:w="0" w:type="auto"/>
            <w:hideMark/>
          </w:tcPr>
          <w:p w:rsidR="008B1744" w:rsidRDefault="008B1744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90F56" w:rsidRPr="0039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Лисицына,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историко-архитектурный путеводитель / А. В. Лисицына. - Нижний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Кварц, 2024. - 72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978-5-6051294-0-0 : 330-00. - </w:t>
            </w:r>
            <w:proofErr w:type="gramStart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90F56"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390F56" w:rsidRPr="00390F56" w:rsidRDefault="00390F56" w:rsidP="008B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390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</w:tbl>
    <w:p w:rsidR="00390F56" w:rsidRPr="00390F56" w:rsidRDefault="00390F56" w:rsidP="00390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90F56" w:rsidRPr="0039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84B17"/>
    <w:multiLevelType w:val="hybridMultilevel"/>
    <w:tmpl w:val="E5242624"/>
    <w:lvl w:ilvl="0" w:tplc="5C5CA8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56"/>
    <w:rsid w:val="00002461"/>
    <w:rsid w:val="000158ED"/>
    <w:rsid w:val="00283184"/>
    <w:rsid w:val="00390F2D"/>
    <w:rsid w:val="00390F56"/>
    <w:rsid w:val="005E628B"/>
    <w:rsid w:val="006E5F9E"/>
    <w:rsid w:val="00846E8C"/>
    <w:rsid w:val="008B1744"/>
    <w:rsid w:val="008E3C9F"/>
    <w:rsid w:val="008F688C"/>
    <w:rsid w:val="009A34D8"/>
    <w:rsid w:val="009E3A4A"/>
    <w:rsid w:val="00B04F09"/>
    <w:rsid w:val="00C61F0B"/>
    <w:rsid w:val="00D642DC"/>
    <w:rsid w:val="00E868E3"/>
    <w:rsid w:val="00ED13E3"/>
    <w:rsid w:val="00EE3576"/>
    <w:rsid w:val="00F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23A87-20B8-42DF-9523-CF02483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1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НБО</cp:lastModifiedBy>
  <cp:revision>11</cp:revision>
  <dcterms:created xsi:type="dcterms:W3CDTF">2025-03-24T06:57:00Z</dcterms:created>
  <dcterms:modified xsi:type="dcterms:W3CDTF">2025-03-28T09:41:00Z</dcterms:modified>
</cp:coreProperties>
</file>