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CD" w:rsidRPr="00E031D5" w:rsidRDefault="00B95BCD" w:rsidP="00B95BCD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СЕНТЯБРЬ</w:t>
      </w:r>
      <w:r w:rsidRPr="00E031D5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 w:rsidRPr="00E031D5">
        <w:rPr>
          <w:rFonts w:ascii="Arial" w:hAnsi="Arial" w:cs="Arial"/>
          <w:i/>
          <w:sz w:val="24"/>
          <w:szCs w:val="24"/>
        </w:rPr>
        <w:t>202</w:t>
      </w:r>
      <w:r>
        <w:rPr>
          <w:rFonts w:ascii="Arial" w:hAnsi="Arial" w:cs="Arial"/>
          <w:i/>
          <w:sz w:val="24"/>
          <w:szCs w:val="24"/>
        </w:rPr>
        <w:t>1</w:t>
      </w:r>
      <w:r w:rsidRPr="00E031D5">
        <w:rPr>
          <w:rFonts w:ascii="Arial" w:hAnsi="Arial" w:cs="Arial"/>
          <w:i/>
          <w:sz w:val="24"/>
          <w:szCs w:val="24"/>
        </w:rPr>
        <w:t xml:space="preserve"> года</w:t>
      </w:r>
    </w:p>
    <w:p w:rsidR="00B95BCD" w:rsidRDefault="00B95BCD" w:rsidP="0009739E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B95BCD" w:rsidRDefault="00B95BCD" w:rsidP="0009739E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B95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B95BCD" w:rsidRPr="005F3696" w:rsidTr="0009739E">
        <w:trPr>
          <w:cantSplit/>
        </w:trPr>
        <w:tc>
          <w:tcPr>
            <w:tcW w:w="3828" w:type="dxa"/>
          </w:tcPr>
          <w:p w:rsidR="00B95BCD" w:rsidRDefault="00B95BCD" w:rsidP="000973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B95BCD" w:rsidRPr="005F3696" w:rsidRDefault="00B95BCD" w:rsidP="000973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B95BCD" w:rsidRPr="005F3696" w:rsidRDefault="00B95BCD" w:rsidP="0009739E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F567A4" w:rsidP="00F567A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C42BCB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567A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A914A7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C42BC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  <w:p w:rsidR="00B95BCD" w:rsidRPr="00C42BCB" w:rsidRDefault="00B95BCD" w:rsidP="0009739E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A914A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F567A4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Вычислительная техника и информатика</w:t>
            </w: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A914A7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Горное дело</w:t>
            </w:r>
          </w:p>
          <w:p w:rsidR="00B95BCD" w:rsidRPr="00C42BCB" w:rsidRDefault="00B95BCD" w:rsidP="0009739E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95BCD" w:rsidRPr="00A50A10" w:rsidRDefault="00B95BCD" w:rsidP="00A914A7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A914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F567A4" w:rsidP="00F567A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1F2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C42B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екоративно-прикладное искусство</w:t>
            </w: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567A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B95BCD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Математика</w:t>
            </w:r>
          </w:p>
          <w:p w:rsidR="00B95BCD" w:rsidRPr="00C42BCB" w:rsidRDefault="00B95BCD" w:rsidP="0009739E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95BCD" w:rsidRPr="00A50A10" w:rsidRDefault="00B95BCD" w:rsidP="00F567A4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567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914A7" w:rsidRPr="00A50A10" w:rsidTr="0009739E">
        <w:trPr>
          <w:cantSplit/>
        </w:trPr>
        <w:tc>
          <w:tcPr>
            <w:tcW w:w="3828" w:type="dxa"/>
          </w:tcPr>
          <w:p w:rsidR="00A914A7" w:rsidRPr="00C42BCB" w:rsidRDefault="00A914A7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A914A7" w:rsidRPr="00A50A10" w:rsidRDefault="00A914A7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B95BCD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Религия</w:t>
            </w: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B95BCD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Строительные конструкции</w:t>
            </w:r>
          </w:p>
          <w:p w:rsidR="00B95BCD" w:rsidRPr="00C42BCB" w:rsidRDefault="00B95BCD" w:rsidP="0009739E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B95BCD" w:rsidP="00F567A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C42BCB">
              <w:rPr>
                <w:rFonts w:ascii="Arial" w:hAnsi="Arial" w:cs="Arial"/>
                <w:sz w:val="20"/>
                <w:szCs w:val="20"/>
              </w:rPr>
              <w:t>Строительн</w:t>
            </w:r>
            <w:r w:rsidR="00F567A4" w:rsidRPr="00C42BCB">
              <w:rPr>
                <w:rFonts w:ascii="Arial" w:hAnsi="Arial" w:cs="Arial"/>
                <w:sz w:val="20"/>
                <w:szCs w:val="20"/>
              </w:rPr>
              <w:t>ая механика</w:t>
            </w: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567A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A4" w:rsidRPr="00A50A10" w:rsidTr="0009739E">
        <w:trPr>
          <w:cantSplit/>
        </w:trPr>
        <w:tc>
          <w:tcPr>
            <w:tcW w:w="3828" w:type="dxa"/>
          </w:tcPr>
          <w:p w:rsidR="00F567A4" w:rsidRPr="00C42BCB" w:rsidRDefault="00F567A4" w:rsidP="00F567A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C42BCB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F567A4" w:rsidRPr="00A50A10" w:rsidRDefault="00F567A4" w:rsidP="00F567A4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567A4" w:rsidRPr="00A50A10" w:rsidRDefault="00F567A4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B95BCD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Т</w:t>
            </w:r>
            <w:r w:rsidR="00F567A4"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еплотехника. Отопление. Вентиляция</w:t>
            </w:r>
          </w:p>
          <w:p w:rsidR="00B95BCD" w:rsidRPr="00C42BCB" w:rsidRDefault="00B95BCD" w:rsidP="0009739E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B95BCD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Х</w:t>
            </w:r>
            <w:r w:rsidR="00F567A4"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удожественная литература</w:t>
            </w:r>
          </w:p>
          <w:p w:rsidR="00B95BCD" w:rsidRPr="00C42BCB" w:rsidRDefault="00B95BCD" w:rsidP="0009739E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567A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A50A10" w:rsidTr="0009739E">
        <w:trPr>
          <w:cantSplit/>
        </w:trPr>
        <w:tc>
          <w:tcPr>
            <w:tcW w:w="3828" w:type="dxa"/>
          </w:tcPr>
          <w:p w:rsidR="00B95BCD" w:rsidRPr="00C42BCB" w:rsidRDefault="00B95BCD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Экология</w:t>
            </w:r>
          </w:p>
          <w:p w:rsidR="00B95BCD" w:rsidRPr="00C42BCB" w:rsidRDefault="00B95BCD" w:rsidP="0009739E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5BCD" w:rsidRPr="005F3696" w:rsidTr="0009739E">
        <w:trPr>
          <w:cantSplit/>
        </w:trPr>
        <w:tc>
          <w:tcPr>
            <w:tcW w:w="3828" w:type="dxa"/>
          </w:tcPr>
          <w:p w:rsidR="00B95BCD" w:rsidRPr="00C42BCB" w:rsidRDefault="00B95BCD" w:rsidP="00A914A7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</w:t>
            </w:r>
            <w:r w:rsidR="00A914A7" w:rsidRPr="00C42BCB">
              <w:rPr>
                <w:rFonts w:ascii="Arial" w:eastAsia="Times New Roman" w:hAnsi="Arial" w:cs="Arial"/>
                <w:bCs/>
                <w:sz w:val="20"/>
                <w:szCs w:val="20"/>
              </w:rPr>
              <w:t>. Экономические науки</w:t>
            </w: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A914A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CD" w:rsidRPr="005F3696" w:rsidTr="0009739E">
        <w:trPr>
          <w:cantSplit/>
        </w:trPr>
        <w:tc>
          <w:tcPr>
            <w:tcW w:w="3828" w:type="dxa"/>
          </w:tcPr>
          <w:p w:rsidR="00B95BCD" w:rsidRPr="00C42BCB" w:rsidRDefault="00A914A7" w:rsidP="00B95BCD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CB"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A914A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95BCD" w:rsidRPr="00A50A10" w:rsidRDefault="00B95BCD" w:rsidP="0009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BCD" w:rsidRDefault="00B95BCD" w:rsidP="004C1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B95BCD" w:rsidSect="00C42B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911"/>
        <w:gridCol w:w="7954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67A4" w:rsidRDefault="00F567A4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РЕЛИГИЯ</w:t>
            </w:r>
          </w:p>
        </w:tc>
      </w:tr>
      <w:tr w:rsidR="004C1F2E" w:rsidRPr="004C1F2E" w:rsidTr="00C42BCB">
        <w:trPr>
          <w:tblCellSpacing w:w="15" w:type="dxa"/>
        </w:trPr>
        <w:tc>
          <w:tcPr>
            <w:tcW w:w="239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4C1F2E" w:rsidRPr="004C1F2E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Псой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Ринальди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редакцией Патриарха Московского и всея Руси Кирилла.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2020. - 752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978-5-89572-066-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4C1F2E" w:rsidRPr="004C1F2E" w:rsidTr="00C42BCB">
        <w:trPr>
          <w:tblCellSpacing w:w="15" w:type="dxa"/>
        </w:trPr>
        <w:tc>
          <w:tcPr>
            <w:tcW w:w="239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B95BCD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Рипсимия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Гаиания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35 Святых Дев -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Саблер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/ под редакцией Патриарха Московского и всея Руси Кирилла.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2020. - 752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978-5-89572-067-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B9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C1F2E" w:rsidRPr="004C1F2E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4C1F2E" w:rsidRPr="004C1F2E" w:rsidTr="00C42BCB">
        <w:trPr>
          <w:tblCellSpacing w:w="15" w:type="dxa"/>
        </w:trPr>
        <w:tc>
          <w:tcPr>
            <w:tcW w:w="239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B95BCD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Саватий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Сведенборг / под редакцией Патриарха Московского и всея Руси Кирилла.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2021. - 752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978-5-89572-068-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C1F2E" w:rsidRPr="004C1F2E" w:rsidRDefault="004C1F2E" w:rsidP="00B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4C1F2E" w:rsidRPr="004C1F2E" w:rsidTr="00C42BCB">
        <w:trPr>
          <w:tblCellSpacing w:w="15" w:type="dxa"/>
        </w:trPr>
        <w:tc>
          <w:tcPr>
            <w:tcW w:w="239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B95BCD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Печерская икона Божией Матери - Сергий / под редакцией Патриарха Московского и всея Руси Кирилла.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2021. - 752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978-5-89572-069-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4C1F2E" w:rsidRPr="004C1F2E" w:rsidRDefault="004C1F2E" w:rsidP="00B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9C2015" w:rsidRPr="004C1F2E" w:rsidTr="009C2015">
        <w:trPr>
          <w:tblCellSpacing w:w="15" w:type="dxa"/>
        </w:trPr>
        <w:tc>
          <w:tcPr>
            <w:tcW w:w="4968" w:type="pct"/>
            <w:gridSpan w:val="3"/>
          </w:tcPr>
          <w:p w:rsidR="009C2015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2015" w:rsidRPr="009C2015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ЭКОНОМИКА. ЭКОНОМИЧЕСКИЕ НАУКИ</w:t>
            </w:r>
          </w:p>
        </w:tc>
      </w:tr>
      <w:tr w:rsidR="009C2015" w:rsidRPr="004C1F2E" w:rsidTr="00C42BCB">
        <w:trPr>
          <w:tblCellSpacing w:w="15" w:type="dxa"/>
        </w:trPr>
        <w:tc>
          <w:tcPr>
            <w:tcW w:w="239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C2015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Беккер, П. 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привлечения инвестиций в реконструкцию и эксплуатацию объектов культурного наследия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экономических наук : специальность 08.00.05 "Экономика и управление народным хозяйством (экономика, организация и управление предприятиями, отраслями, комплексами (строительство))" / П. Р. Беккер ; Национальный исследовательский Московский государственный строительный университет. - Москва, 2021. - 24 с.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91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A914A7" w:rsidRDefault="00A914A7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14A7" w:rsidRDefault="00A914A7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14A7" w:rsidRDefault="00A914A7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14A7" w:rsidRPr="004C1F2E" w:rsidRDefault="00A914A7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015" w:rsidRPr="004C1F2E" w:rsidTr="00D26C2C">
        <w:trPr>
          <w:tblCellSpacing w:w="15" w:type="dxa"/>
        </w:trPr>
        <w:tc>
          <w:tcPr>
            <w:tcW w:w="4968" w:type="pct"/>
            <w:gridSpan w:val="3"/>
          </w:tcPr>
          <w:p w:rsidR="009C2015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2015" w:rsidRPr="00D26C2C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9C2015" w:rsidRPr="004C1F2E" w:rsidTr="00C42BCB">
        <w:trPr>
          <w:tblCellSpacing w:w="15" w:type="dxa"/>
        </w:trPr>
        <w:tc>
          <w:tcPr>
            <w:tcW w:w="239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C2015" w:rsidRPr="004C1F2E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Печерская, А.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расчетов с бюджетом на основе аналитических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экономических наук : специальность 08.00.12 "Бухгалтерский учет, статистика" / А. Н. Печерская ; Российский экономический университет им. Г. В. Плеханова. - Москва, 2021. - 29 с.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A914A7" w:rsidRPr="004C1F2E" w:rsidTr="00A914A7">
        <w:trPr>
          <w:tblCellSpacing w:w="15" w:type="dxa"/>
        </w:trPr>
        <w:tc>
          <w:tcPr>
            <w:tcW w:w="246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4A7" w:rsidRPr="004C1F2E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С.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художественно-эстетической культуры учителя средствами театральной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педагогики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С. В. Кузнецова ; Нижегородский государственный педагогический университет имени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Минина. - Москва, 2021. - 22 с.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4C1F2E" w:rsidRPr="004C1F2E" w:rsidTr="00A914A7">
        <w:trPr>
          <w:tblCellSpacing w:w="15" w:type="dxa"/>
        </w:trPr>
        <w:tc>
          <w:tcPr>
            <w:tcW w:w="246" w:type="pct"/>
            <w:hideMark/>
          </w:tcPr>
          <w:p w:rsidR="004C1F2E" w:rsidRPr="004C1F2E" w:rsidRDefault="00A914A7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О-35</w:t>
            </w:r>
          </w:p>
        </w:tc>
        <w:tc>
          <w:tcPr>
            <w:tcW w:w="0" w:type="auto"/>
            <w:hideMark/>
          </w:tcPr>
          <w:p w:rsidR="00B95BCD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Овчинников, П. А.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лекциям, практическим, семинарским занятиям (включая рекомендации по организации самостоятельной работы) по дисциплине "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недвижимости" для обучающихся по направлению подготовки 08.04.01 Строительство, профиль Управление инвестиционно-строительной деятельностью / П. А. Овчинников ; Нижегородский государственный архитектурно-строительный университет. - Нижний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C1F2E" w:rsidRPr="004C1F2E" w:rsidRDefault="004C1F2E" w:rsidP="00B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2"/>
        <w:gridCol w:w="7939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ЯЗЫКОЗНАНИЕ</w:t>
            </w:r>
          </w:p>
        </w:tc>
      </w:tr>
      <w:tr w:rsidR="004C1F2E" w:rsidRPr="004C1F2E" w:rsidTr="00A914A7">
        <w:trPr>
          <w:tblCellSpacing w:w="15" w:type="dxa"/>
        </w:trPr>
        <w:tc>
          <w:tcPr>
            <w:tcW w:w="241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Б34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Бгашев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Англо-русский современный иллюстрированный словарь по архитектуре и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строительству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направлению "Архитектура" / В. Н.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Бгашев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2-е,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 Типография-КЕМ", 2020. - 1112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1110. - ISBN 978-5-6041410-4-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A914A7" w:rsidRPr="004C1F2E" w:rsidTr="00A914A7">
        <w:trPr>
          <w:tblCellSpacing w:w="15" w:type="dxa"/>
        </w:trPr>
        <w:tc>
          <w:tcPr>
            <w:tcW w:w="4968" w:type="pct"/>
            <w:gridSpan w:val="3"/>
          </w:tcPr>
          <w:p w:rsidR="00A914A7" w:rsidRDefault="00A914A7" w:rsidP="00A9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4A7" w:rsidRDefault="00A914A7" w:rsidP="00A9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</w:tr>
      <w:tr w:rsidR="00A914A7" w:rsidRPr="004C1F2E" w:rsidTr="00A914A7">
        <w:trPr>
          <w:tblCellSpacing w:w="15" w:type="dxa"/>
        </w:trPr>
        <w:tc>
          <w:tcPr>
            <w:tcW w:w="241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4A7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Богомолов, С.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оценки пылевого загрязнения атмосферы урбанизированных территорий с учетом плотности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2.1.10 "Экологическая безопасность строительства и городского хозяйства (технические науки)" / С. А. Богомолов ; Волгоградский государственный технический университет. - Волгоград, 2021. - 23 с.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914A7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</w:t>
            </w:r>
          </w:p>
          <w:p w:rsidR="00A914A7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14A7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14A7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7A4" w:rsidRDefault="00F567A4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7A4" w:rsidRPr="004C1F2E" w:rsidRDefault="00F567A4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A7" w:rsidRPr="004C1F2E" w:rsidTr="002C4C5E">
        <w:trPr>
          <w:tblCellSpacing w:w="15" w:type="dxa"/>
        </w:trPr>
        <w:tc>
          <w:tcPr>
            <w:tcW w:w="4968" w:type="pct"/>
            <w:gridSpan w:val="3"/>
          </w:tcPr>
          <w:p w:rsidR="00A914A7" w:rsidRDefault="00A914A7" w:rsidP="00A9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4A7" w:rsidRDefault="00A914A7" w:rsidP="00A9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A914A7" w:rsidRPr="004C1F2E" w:rsidTr="00A914A7">
        <w:trPr>
          <w:tblCellSpacing w:w="15" w:type="dxa"/>
        </w:trPr>
        <w:tc>
          <w:tcPr>
            <w:tcW w:w="241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4A7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Руденко, М.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Вычислительные алгоритмы и компьютерные средства синтеза моделей трехмерных объектов по их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изображению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05.13.18 "Математическое моделирование, численные методы и комплексы программ (технические науки)" / М. П. Руденко ; Донецкий национальный технический университет. - Донецк, 2021. - 20 с.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914A7" w:rsidRPr="004C1F2E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05"/>
        <w:gridCol w:w="7961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ГОРНОЕ ДЕЛО</w:t>
            </w:r>
          </w:p>
        </w:tc>
      </w:tr>
      <w:tr w:rsidR="004C1F2E" w:rsidRPr="004C1F2E" w:rsidTr="009C2015">
        <w:trPr>
          <w:tblCellSpacing w:w="15" w:type="dxa"/>
        </w:trPr>
        <w:tc>
          <w:tcPr>
            <w:tcW w:w="238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Б33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Башкатов, Д.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по бурению скважин на воду / Д. Н. Башкатов, А. М. Коломиец, Б. И.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;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Д. Н. Башкатова.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Иванов А. Р. при содействии ООО "РИЦ Ариадна", 2021. - 664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978-5-9903680-2-6 : 1000-00.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2C4C5E" w:rsidRPr="004C1F2E" w:rsidTr="002C4C5E">
        <w:trPr>
          <w:tblCellSpacing w:w="15" w:type="dxa"/>
        </w:trPr>
        <w:tc>
          <w:tcPr>
            <w:tcW w:w="4968" w:type="pct"/>
            <w:gridSpan w:val="3"/>
          </w:tcPr>
          <w:p w:rsidR="009C2015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4C5E" w:rsidRDefault="002C4C5E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ВЫЧИСЛИТЕЛЬНАЯ ТЕХНИКА </w:t>
            </w:r>
            <w:r w:rsidR="009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ИНФОРМАТИКА </w:t>
            </w:r>
          </w:p>
        </w:tc>
      </w:tr>
      <w:tr w:rsidR="009C2015" w:rsidRPr="004C1F2E" w:rsidTr="009C2015">
        <w:trPr>
          <w:tblCellSpacing w:w="15" w:type="dxa"/>
        </w:trPr>
        <w:tc>
          <w:tcPr>
            <w:tcW w:w="238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I-69</w:t>
            </w:r>
          </w:p>
        </w:tc>
        <w:tc>
          <w:tcPr>
            <w:tcW w:w="0" w:type="auto"/>
          </w:tcPr>
          <w:p w:rsidR="009C2015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International Scientific Conference on Computing in Physics and Technology Proceedings.</w:t>
            </w:r>
            <w:r w:rsidRPr="003F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8th International Scientific Conference on Computing in Physics and Technology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Proceedings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СРТ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2020, 9-13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2020. Part 1 / Institute of theoretical and experimental biophysics, Russian Academy of Sciences,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Pushchino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Moscow region, Russia,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Pushchino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Institute of Natural Science,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Pushchino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Moscow region, Russia, ANO "Scientific and Research Center for Information in Physics and Technique", Nizhny Novgorod, Russia. - Nizhny Novgorod, 2020. - 346 p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ill. - ISBN 978-5-6042891-4-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C2015" w:rsidRPr="004C1F2E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9C2015" w:rsidRPr="004C1F2E" w:rsidTr="009C2015">
        <w:trPr>
          <w:tblCellSpacing w:w="15" w:type="dxa"/>
        </w:trPr>
        <w:tc>
          <w:tcPr>
            <w:tcW w:w="238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Ф50</w:t>
            </w:r>
          </w:p>
        </w:tc>
        <w:tc>
          <w:tcPr>
            <w:tcW w:w="0" w:type="auto"/>
          </w:tcPr>
          <w:p w:rsidR="009C2015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"Физико-техническая информатика", международная конференция.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 международная конференция "Физико-техническая информатика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СРТ2020, 9-13 ноября 2020. Ч.2 / Институт теоретической и экспериментальной биофизики РАН, Пущинский государственный естественно-научный институт, АНО "Научно-исследовательский Центр Физико-технической информатики". - Нижний Новгород, 2020. - 356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978-5-6042891-2-9 :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C2015" w:rsidRPr="004C1F2E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  <w:p w:rsidR="009C2015" w:rsidRPr="004C1F2E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C2015" w:rsidRPr="004C1F2E" w:rsidTr="002C4C5E">
        <w:trPr>
          <w:tblCellSpacing w:w="15" w:type="dxa"/>
        </w:trPr>
        <w:tc>
          <w:tcPr>
            <w:tcW w:w="4968" w:type="pct"/>
            <w:gridSpan w:val="3"/>
          </w:tcPr>
          <w:p w:rsidR="009C2015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2015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ТЕПЛОТЕХНИКА. ОТОПЛЕНИЕ. ВЕНТИЛЯЦИЯ</w:t>
            </w:r>
          </w:p>
        </w:tc>
      </w:tr>
      <w:tr w:rsidR="009C2015" w:rsidRPr="004C1F2E" w:rsidTr="009C2015">
        <w:trPr>
          <w:tblCellSpacing w:w="15" w:type="dxa"/>
        </w:trPr>
        <w:tc>
          <w:tcPr>
            <w:tcW w:w="238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620.9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С59</w:t>
            </w:r>
          </w:p>
        </w:tc>
        <w:tc>
          <w:tcPr>
            <w:tcW w:w="0" w:type="auto"/>
          </w:tcPr>
          <w:p w:rsidR="009C2015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М.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Теплая история нижегородского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очерки по истории теплоснабжения: занимательные факты и удивительные открытия / М. М. Соколов, А. Г. Кочев. - Нижний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РГ "День города. Нижний Новгород", 2021. - 208 с. : ил. - К 800-летию города. -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204-206. - ISBN 978-5-6046376-0-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F567A4" w:rsidRDefault="009C2015" w:rsidP="00F5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56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8</w:t>
            </w:r>
          </w:p>
          <w:p w:rsidR="00F567A4" w:rsidRDefault="00F567A4" w:rsidP="00F5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567A4" w:rsidRDefault="00F567A4" w:rsidP="00F5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567A4" w:rsidRDefault="00F567A4" w:rsidP="00F5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567A4" w:rsidRPr="004C1F2E" w:rsidRDefault="00F567A4" w:rsidP="00F5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015" w:rsidRPr="004C1F2E" w:rsidTr="00D26C2C">
        <w:trPr>
          <w:tblCellSpacing w:w="15" w:type="dxa"/>
        </w:trPr>
        <w:tc>
          <w:tcPr>
            <w:tcW w:w="4968" w:type="pct"/>
            <w:gridSpan w:val="3"/>
          </w:tcPr>
          <w:p w:rsidR="009C2015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2015" w:rsidRDefault="009C2015" w:rsidP="009C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СТРОИТЕЛЬНАЯ МЕХАНИКА</w:t>
            </w:r>
          </w:p>
        </w:tc>
      </w:tr>
      <w:tr w:rsidR="009C2015" w:rsidRPr="004C1F2E" w:rsidTr="009C2015">
        <w:trPr>
          <w:tblCellSpacing w:w="15" w:type="dxa"/>
        </w:trPr>
        <w:tc>
          <w:tcPr>
            <w:tcW w:w="238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</w:tcPr>
          <w:p w:rsidR="009C2015" w:rsidRPr="004C1F2E" w:rsidRDefault="009C2015" w:rsidP="009C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C2015" w:rsidRPr="004C1F2E" w:rsidRDefault="009C2015" w:rsidP="009C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Е.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Колебание балки на упругом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винклеровском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при изменении условий </w:t>
            </w:r>
            <w:proofErr w:type="spellStart"/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2.1.9 "Строительная механика" / Е. В. Леонтьев ; ФГБОУ ВО "Юго-Западный государственный университет". - Курск, 2021. - 24 с.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СТРОИТЕЛЬСТВО</w:t>
            </w:r>
          </w:p>
        </w:tc>
      </w:tr>
      <w:tr w:rsidR="004C1F2E" w:rsidRPr="004C1F2E" w:rsidTr="004C1F2E">
        <w:trPr>
          <w:tblCellSpacing w:w="15" w:type="dxa"/>
        </w:trPr>
        <w:tc>
          <w:tcPr>
            <w:tcW w:w="25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Д19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Даняева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Архитектурно-строительные особенности в реконструкции гражданских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Н.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978-5-528-00425-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C1F2E" w:rsidRPr="004C1F2E" w:rsidTr="004C1F2E">
        <w:trPr>
          <w:tblCellSpacing w:w="15" w:type="dxa"/>
        </w:trPr>
        <w:tc>
          <w:tcPr>
            <w:tcW w:w="25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Т47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Тишков, В.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и лифты гражданских зданий различной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этажности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А. Тишков, Е. С.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Касюгина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978-5-528-00460-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КОНСТРУКЦИИ</w:t>
            </w:r>
          </w:p>
        </w:tc>
      </w:tr>
      <w:tr w:rsidR="004C1F2E" w:rsidRPr="004C1F2E" w:rsidTr="00A914A7">
        <w:trPr>
          <w:tblCellSpacing w:w="15" w:type="dxa"/>
        </w:trPr>
        <w:tc>
          <w:tcPr>
            <w:tcW w:w="243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Агеева, Е.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Архитектурно-конструктивные особенности общественных зданий с деревянными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конструкциями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Ю. Агеева, Т. О. Кулагина ; Нижегородский государственный архитектурно-строительный университет. - Нижний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- 86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83-84. - В библиотеке также находится электронная версия издания - См. на заглавие. - ISBN 978-5-528-00429-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A914A7" w:rsidRPr="004C1F2E" w:rsidTr="00A914A7">
        <w:trPr>
          <w:tblCellSpacing w:w="15" w:type="dxa"/>
        </w:trPr>
        <w:tc>
          <w:tcPr>
            <w:tcW w:w="243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4A7" w:rsidRPr="004C1F2E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Клименти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обеспыливания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 цехов производства силикатного цветного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2.1.16 "Охрана труда в строительстве (технические науки)" / Н. Ю.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Клименти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Волгоградский государственный технический университет. - Волгоград, 2021. - 24 с.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  <w:tr w:rsidR="00A914A7" w:rsidRPr="004C1F2E" w:rsidTr="00A914A7">
        <w:trPr>
          <w:tblCellSpacing w:w="15" w:type="dxa"/>
        </w:trPr>
        <w:tc>
          <w:tcPr>
            <w:tcW w:w="243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A914A7" w:rsidRPr="004C1F2E" w:rsidRDefault="00A914A7" w:rsidP="00A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4A7" w:rsidRPr="004C1F2E" w:rsidRDefault="00A914A7" w:rsidP="00A9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Нажуев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Виброцентрифугированные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железобетонные колонны с регулируемой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вариатропией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бетона технологическими и рецептурными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 : специальность 2.1.7 "Технология и организация строительства"; 2.1.1 "Строительные конструкции, здания и сооружения" / М. П.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Нажуев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Донской государственный технический университет. - Ростов-на-Дону, 2021. - 23 с.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непосредственный.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АРХИТЕКТУРА. ГРАДОСТРОИТЕЛЬСТВО</w:t>
            </w:r>
          </w:p>
        </w:tc>
      </w:tr>
      <w:tr w:rsidR="004C1F2E" w:rsidRPr="004C1F2E" w:rsidTr="004C1F2E">
        <w:trPr>
          <w:tblCellSpacing w:w="15" w:type="dxa"/>
        </w:trPr>
        <w:tc>
          <w:tcPr>
            <w:tcW w:w="25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Агеева, Е.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Архитектурно-конструктивные особенности "интеллектуальных школ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Агеева, А. А. Климова ; Нижегородский государственный архитектурно-строительный университет. - Нижний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- 154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148-152. - В библиотеке также находится электронная версия издания - См. на заглавие. - ISBN 978-5-528-00428-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4C1F2E" w:rsidRPr="004C1F2E" w:rsidTr="004C1F2E">
        <w:trPr>
          <w:tblCellSpacing w:w="15" w:type="dxa"/>
        </w:trPr>
        <w:tc>
          <w:tcPr>
            <w:tcW w:w="25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А87</w:t>
            </w:r>
          </w:p>
        </w:tc>
        <w:tc>
          <w:tcPr>
            <w:tcW w:w="0" w:type="auto"/>
            <w:hideMark/>
          </w:tcPr>
          <w:p w:rsidR="00B95BCD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Архитектурное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наследство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[сборник]. Вып.74 / Российская академия архитектуры и строительных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 ;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Научно-исследовательский институт теории и истории архитектуры и градостроительства ; главный редактор, составитель И. А. Бондаренко. - Санкт-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Коло, 2021. - 258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- 1179-66. - Текст : непосредственный.</w:t>
            </w:r>
          </w:p>
          <w:p w:rsidR="004C1F2E" w:rsidRPr="004C1F2E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C1F2E" w:rsidRPr="004C1F2E" w:rsidTr="004C1F2E">
        <w:trPr>
          <w:tblCellSpacing w:w="15" w:type="dxa"/>
        </w:trPr>
        <w:tc>
          <w:tcPr>
            <w:tcW w:w="25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711.4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О-35</w:t>
            </w:r>
          </w:p>
        </w:tc>
        <w:tc>
          <w:tcPr>
            <w:tcW w:w="0" w:type="auto"/>
            <w:hideMark/>
          </w:tcPr>
          <w:p w:rsidR="00B95BCD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Овчинников, П.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инвестиционно-строительной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по направлению подготовки 08.03.01 Строительство, профиль Организация инвестиционно-строительной деятельности / П. А. Овчинников ; Нижегородский государственный архитектурно-строительный университет. - Нижний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4C1F2E" w:rsidRPr="004C1F2E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C1F2E" w:rsidRPr="004C1F2E" w:rsidTr="004C1F2E">
        <w:trPr>
          <w:tblCellSpacing w:w="15" w:type="dxa"/>
        </w:trPr>
        <w:tc>
          <w:tcPr>
            <w:tcW w:w="25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Т47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Тишков, В.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архитектурно-строительной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реновации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А. Тишков, Е. Ю. Агеева, Н. С. Елагин ; Нижегородский государственный архитектурно-строительный университет. - Нижний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- 144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121-127. - В библиотеке также находится электронная версия издания - См. на заглавие. - ISBN 978-5-528-00459-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4C1F2E" w:rsidRPr="004C1F2E" w:rsidTr="004C1F2E">
        <w:trPr>
          <w:tblCellSpacing w:w="15" w:type="dxa"/>
        </w:trPr>
        <w:tc>
          <w:tcPr>
            <w:tcW w:w="25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Шумилкин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купеческие палаты в Нижнем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Новгороде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выполнения учебных работ по дисциплинам "Архитектурное проектирование", "Основы архитектурно-дизайнерского проектирования" студентам 1 курса направлений 07.03.01 "Архитектура", 07.03.03 "Дизайн архитектурной среды" / М. С.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Шумилкин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- 52 с. : ил. - В библиотеке также находится электронная версия издания - См. на заглавие. - 0-00.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- 160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ДЕКОРАТИВНО-ПРИКЛАДНОЕ ИСКУССТВО</w:t>
            </w:r>
          </w:p>
        </w:tc>
      </w:tr>
      <w:tr w:rsidR="004C1F2E" w:rsidRPr="004C1F2E" w:rsidTr="004C1F2E">
        <w:trPr>
          <w:tblCellSpacing w:w="15" w:type="dxa"/>
        </w:trPr>
        <w:tc>
          <w:tcPr>
            <w:tcW w:w="25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М81</w:t>
            </w:r>
          </w:p>
        </w:tc>
        <w:tc>
          <w:tcPr>
            <w:tcW w:w="0" w:type="auto"/>
            <w:hideMark/>
          </w:tcPr>
          <w:p w:rsidR="004C1F2E" w:rsidRPr="004C1F2E" w:rsidRDefault="004C1F2E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Московская школа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дизайна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подготовки специалистов в Московском высшем художественно-промышленном училище (бывшем Строгановском) : методические материалы / ВНИИ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эстетики.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ВНИИТЭ, 1991. - 180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(Дизайн-образование). - 0-00.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4C1F2E" w:rsidRPr="004C1F2E" w:rsidTr="004C1F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C1F2E" w:rsidRPr="004C1F2E" w:rsidRDefault="004C1F2E" w:rsidP="004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ХУДОЖЕСТВЕННАЯ ЛИТЕРАТУРА</w:t>
            </w:r>
          </w:p>
        </w:tc>
      </w:tr>
      <w:tr w:rsidR="004C1F2E" w:rsidRPr="004C1F2E" w:rsidTr="00D26C2C">
        <w:trPr>
          <w:tblCellSpacing w:w="15" w:type="dxa"/>
        </w:trPr>
        <w:tc>
          <w:tcPr>
            <w:tcW w:w="243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А.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Волшебник Изумрудного города;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Урфин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Джюс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деревянные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повести-сказки / А. М. Волков.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Молодая гвардия, 1992. - 256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5-235-01979-2 :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C1F2E" w:rsidRPr="004C1F2E" w:rsidTr="00D26C2C">
        <w:trPr>
          <w:tblCellSpacing w:w="15" w:type="dxa"/>
        </w:trPr>
        <w:tc>
          <w:tcPr>
            <w:tcW w:w="243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Д72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Драгунский, В.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Денискины рассказы / В. Ю. Драгунский.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-Пресс, 2000. - 368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5-04-005418-1 :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4C1F2E" w:rsidRPr="004C1F2E" w:rsidTr="00D26C2C">
        <w:trPr>
          <w:tblCellSpacing w:w="15" w:type="dxa"/>
        </w:trPr>
        <w:tc>
          <w:tcPr>
            <w:tcW w:w="243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hideMark/>
          </w:tcPr>
          <w:p w:rsidR="004C1F2E" w:rsidRPr="004C1F2E" w:rsidRDefault="004C1F2E" w:rsidP="004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И(Вел)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К98</w:t>
            </w:r>
          </w:p>
        </w:tc>
        <w:tc>
          <w:tcPr>
            <w:tcW w:w="0" w:type="auto"/>
            <w:hideMark/>
          </w:tcPr>
          <w:p w:rsidR="004C1F2E" w:rsidRPr="004C1F2E" w:rsidRDefault="00B95BCD" w:rsidP="00B9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C1F2E"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Кэрролл, 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в стране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сказка, рассказанная Борисом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Заходером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пер. с англ. / Л. Кэрролл.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2010. - 160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 (Сказочные повести). - ISBN 978-5-18-001052-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F2E"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4C1F2E"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D26C2C" w:rsidRPr="004C1F2E" w:rsidTr="00D26C2C">
        <w:trPr>
          <w:tblCellSpacing w:w="15" w:type="dxa"/>
        </w:trPr>
        <w:tc>
          <w:tcPr>
            <w:tcW w:w="243" w:type="pct"/>
          </w:tcPr>
          <w:p w:rsidR="00D26C2C" w:rsidRPr="004C1F2E" w:rsidRDefault="00D26C2C" w:rsidP="00D2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</w:tcPr>
          <w:p w:rsidR="00D26C2C" w:rsidRPr="004C1F2E" w:rsidRDefault="00D26C2C" w:rsidP="00D2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</w:t>
            </w:r>
            <w:proofErr w:type="spellEnd"/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0" w:type="auto"/>
          </w:tcPr>
          <w:p w:rsidR="00D26C2C" w:rsidRDefault="00D26C2C" w:rsidP="00D2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[роман] : пер. с иврита / А. Оз. - Москва :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Phantom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- 448 c. - ISBN 978-5-86471-767-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457-00.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D26C2C" w:rsidRPr="004C1F2E" w:rsidRDefault="00D26C2C" w:rsidP="00D2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D26C2C" w:rsidRPr="004C1F2E" w:rsidTr="00D26C2C">
        <w:trPr>
          <w:tblCellSpacing w:w="15" w:type="dxa"/>
        </w:trPr>
        <w:tc>
          <w:tcPr>
            <w:tcW w:w="243" w:type="pct"/>
          </w:tcPr>
          <w:p w:rsidR="00D26C2C" w:rsidRPr="004C1F2E" w:rsidRDefault="00D26C2C" w:rsidP="00D2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</w:tcPr>
          <w:p w:rsidR="00D26C2C" w:rsidRPr="004C1F2E" w:rsidRDefault="00D26C2C" w:rsidP="00D2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И(Вел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D26C2C" w:rsidRDefault="00D26C2C" w:rsidP="00D2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Фейбер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Багровый лепесток и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[роман] : пер. с англ. / М. 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Фейбер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Иностранка, 2017. - 958 с. - ISBN 978-5-389-12491-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450-00. - </w:t>
            </w:r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D26C2C" w:rsidRPr="004C1F2E" w:rsidRDefault="00D26C2C" w:rsidP="00D2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1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4C1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4C1F2E" w:rsidRPr="004C1F2E" w:rsidRDefault="004C1F2E" w:rsidP="004C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4C1F2E" w:rsidRPr="004C1F2E" w:rsidSect="00B95B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1210"/>
        </w:tabs>
        <w:ind w:left="119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2E"/>
    <w:rsid w:val="00131806"/>
    <w:rsid w:val="00280BA8"/>
    <w:rsid w:val="002C4C5E"/>
    <w:rsid w:val="003830F2"/>
    <w:rsid w:val="003F018D"/>
    <w:rsid w:val="00482A5A"/>
    <w:rsid w:val="004C1F2E"/>
    <w:rsid w:val="007B72A8"/>
    <w:rsid w:val="00800010"/>
    <w:rsid w:val="009C2015"/>
    <w:rsid w:val="00A914A7"/>
    <w:rsid w:val="00B95BCD"/>
    <w:rsid w:val="00C42BCB"/>
    <w:rsid w:val="00CD3238"/>
    <w:rsid w:val="00D26C2C"/>
    <w:rsid w:val="00E92AB0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382B-9BE3-4A7F-9C1C-E1A7AD7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НБО</cp:lastModifiedBy>
  <cp:revision>3</cp:revision>
  <cp:lastPrinted>2021-10-06T10:53:00Z</cp:lastPrinted>
  <dcterms:created xsi:type="dcterms:W3CDTF">2021-10-06T10:16:00Z</dcterms:created>
  <dcterms:modified xsi:type="dcterms:W3CDTF">2021-10-06T11:44:00Z</dcterms:modified>
</cp:coreProperties>
</file>